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05" w:rsidRPr="00A12AB6" w:rsidRDefault="00F76CEB" w:rsidP="000E51A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6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Ініціатива з компенсації витрат на релокацію МСБ від ЄБРР</w:t>
      </w:r>
    </w:p>
    <w:p w:rsidR="00A12AB6" w:rsidRPr="00A12AB6" w:rsidRDefault="00A12AB6" w:rsidP="000E51A2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137567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13756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компенсація витрат МСП</w:t>
      </w:r>
    </w:p>
    <w:p w:rsidR="00B04FBC" w:rsidRPr="00160718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DC7905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A12AB6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2023 рік</w:t>
      </w:r>
    </w:p>
    <w:p w:rsidR="00B04FBC" w:rsidRPr="00227841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AA7416" w:rsidRDefault="00B04FBC" w:rsidP="00160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703FDD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вся Україна</w:t>
      </w:r>
    </w:p>
    <w:p w:rsidR="00B04FBC" w:rsidRPr="00227841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703FDD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4. Вид допомоги:</w:t>
      </w:r>
      <w:r w:rsidR="002D7B8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до 30 тис. євро </w:t>
      </w:r>
    </w:p>
    <w:p w:rsidR="00BD5E56" w:rsidRPr="00203C25" w:rsidRDefault="00BD5E56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DC7905" w:rsidRPr="009917DF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2D7B8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31 січня 2023 року</w:t>
      </w:r>
    </w:p>
    <w:p w:rsidR="009917DF" w:rsidRPr="009917DF" w:rsidRDefault="009917DF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3A511A" w:rsidRPr="003A511A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03C25" w:rsidRPr="00203C25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2D7B8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підприємці МСБ</w:t>
      </w:r>
    </w:p>
    <w:p w:rsidR="00B04FBC" w:rsidRPr="00160718" w:rsidRDefault="00B04FBC" w:rsidP="0016071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653024" w:rsidRPr="006E59FC" w:rsidRDefault="00B04FBC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7. Виконавець</w:t>
      </w:r>
      <w:r w:rsidRPr="006E59FC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: </w:t>
      </w:r>
      <w:r w:rsidR="00F76CEB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ЄБРР</w:t>
      </w:r>
    </w:p>
    <w:p w:rsidR="00160718" w:rsidRPr="00535FDC" w:rsidRDefault="00160718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D62FD4" w:rsidRPr="00E4485A" w:rsidRDefault="00B04FBC" w:rsidP="001607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D62FD4">
        <w:rPr>
          <w:iCs/>
          <w:color w:val="000000" w:themeColor="text1"/>
          <w:sz w:val="26"/>
          <w:szCs w:val="26"/>
          <w:lang w:val="uk-UA"/>
        </w:rPr>
        <w:t>8</w:t>
      </w:r>
      <w:r w:rsidRPr="00E4485A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. Сфера діяльності:</w:t>
      </w:r>
      <w:r w:rsidR="00F76CEB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не обмежена</w:t>
      </w:r>
    </w:p>
    <w:p w:rsidR="00B04FBC" w:rsidRDefault="00B04FBC" w:rsidP="0016071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137567" w:rsidRPr="00137567" w:rsidRDefault="00F76CEB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Європейський банк реконструкції та розвитку (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ЄБРР</w:t>
      </w: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)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за фінансування Швейцарії та США оголошує набір компаній із сектора МСБ на участь в ініціативі з компенсації витрат на релокацію з постраждалих від війни територій у межах України, здійснену після </w:t>
      </w: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br/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24 лютого 2022 року. 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Близько 80 українських компаній отримають гранти на загальну суму 2,4 млн</w:t>
      </w:r>
      <w:r w:rsidR="002D7B8F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євро</w:t>
      </w: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, до 30 тис</w:t>
      </w:r>
      <w:r w:rsidR="002D7B8F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. євро</w:t>
      </w: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кожна, на відшкодування витрат, що не були попередньо оплачені іншими організаціями, та пов’язані з: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транспортуванням обладнання, сировини та готової продукції;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пакуванням, демонтажем, налагодженням, ремонтом, орендою та придбанням обладнання;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використанням приміщень: до одного місяця оренди, інженерні або ремонтно-будівельні роботи у приміщеннях для зберігання обладнання та виробництва.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Компанії мають відповідати наступним вимогам: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до 500 працівників;</w:t>
      </w:r>
    </w:p>
    <w:p w:rsidR="00137567" w:rsidRPr="00137567" w:rsidRDefault="002D7B8F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річний обіг до 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50 млн </w:t>
      </w: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євро або загальні активи до 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43 млн</w:t>
      </w: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євро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;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не менше двох років операційної діяльності;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частка українських власників – більше 50%.</w:t>
      </w:r>
    </w:p>
    <w:p w:rsidR="00137567" w:rsidRPr="00137567" w:rsidRDefault="002D7B8F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Кінцевий термін подання заявок –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31 січня 2023 р</w:t>
      </w:r>
      <w:r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оку</w:t>
      </w:r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, форми для заповнення</w:t>
      </w:r>
      <w:r w:rsidR="008C25DF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- </w:t>
      </w:r>
      <w:hyperlink r:id="rId9" w:history="1">
        <w:r w:rsidR="008C25DF" w:rsidRPr="008C25DF">
          <w:rPr>
            <w:rStyle w:val="a3"/>
            <w:rFonts w:eastAsiaTheme="minorHAnsi"/>
            <w:spacing w:val="-4"/>
            <w:sz w:val="26"/>
            <w:szCs w:val="26"/>
            <w:lang w:val="uk-UA" w:eastAsia="en-US"/>
          </w:rPr>
          <w:t>ТУТ</w:t>
        </w:r>
      </w:hyperlink>
      <w:r w:rsidR="00137567"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.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Запити розглядатимуться в порядку черги.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Ініціатива впроваджується за підтримки ЄБРР і фінансування Швейцарії та США в рамках Фонду сприяння малому бізнесу ЄБРР (донори Фонду: США, Італія, Ірландія, Корея, Люксембург, Норвегія, Швейцарія, Швеція, Японія та ТайваньБізнес – Фонд Технічного Співробітництва ЄБРР). </w:t>
      </w:r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137567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State Secretariat for Economic Affairs (SECO) in Switzerland </w:t>
      </w:r>
    </w:p>
    <w:p w:rsidR="00137567" w:rsidRPr="00137567" w:rsidRDefault="00934EFA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hyperlink r:id="rId10" w:history="1">
        <w:proofErr w:type="spellStart"/>
        <w:r w:rsidR="00137567" w:rsidRPr="00137567">
          <w:rPr>
            <w:rFonts w:eastAsiaTheme="minorHAnsi"/>
            <w:color w:val="000000" w:themeColor="text1"/>
            <w:spacing w:val="-4"/>
            <w:sz w:val="26"/>
            <w:szCs w:val="26"/>
            <w:lang w:val="uk-UA" w:eastAsia="en-US"/>
          </w:rPr>
          <w:t>The</w:t>
        </w:r>
        <w:proofErr w:type="spellEnd"/>
        <w:r w:rsidR="00137567" w:rsidRPr="00137567">
          <w:rPr>
            <w:rFonts w:eastAsiaTheme="minorHAnsi"/>
            <w:color w:val="000000" w:themeColor="text1"/>
            <w:spacing w:val="-4"/>
            <w:sz w:val="26"/>
            <w:szCs w:val="26"/>
            <w:lang w:val="uk-UA" w:eastAsia="en-US"/>
          </w:rPr>
          <w:t xml:space="preserve"> U.S. </w:t>
        </w:r>
        <w:proofErr w:type="spellStart"/>
        <w:r w:rsidR="00137567" w:rsidRPr="00137567">
          <w:rPr>
            <w:rFonts w:eastAsiaTheme="minorHAnsi"/>
            <w:color w:val="000000" w:themeColor="text1"/>
            <w:spacing w:val="-4"/>
            <w:sz w:val="26"/>
            <w:szCs w:val="26"/>
            <w:lang w:val="uk-UA" w:eastAsia="en-US"/>
          </w:rPr>
          <w:t>Department</w:t>
        </w:r>
        <w:proofErr w:type="spellEnd"/>
        <w:r w:rsidR="00137567" w:rsidRPr="00137567">
          <w:rPr>
            <w:rFonts w:eastAsiaTheme="minorHAnsi"/>
            <w:color w:val="000000" w:themeColor="text1"/>
            <w:spacing w:val="-4"/>
            <w:sz w:val="26"/>
            <w:szCs w:val="26"/>
            <w:lang w:val="uk-UA" w:eastAsia="en-US"/>
          </w:rPr>
          <w:t xml:space="preserve"> </w:t>
        </w:r>
        <w:proofErr w:type="spellStart"/>
        <w:r w:rsidR="00137567" w:rsidRPr="00137567">
          <w:rPr>
            <w:rFonts w:eastAsiaTheme="minorHAnsi"/>
            <w:color w:val="000000" w:themeColor="text1"/>
            <w:spacing w:val="-4"/>
            <w:sz w:val="26"/>
            <w:szCs w:val="26"/>
            <w:lang w:val="uk-UA" w:eastAsia="en-US"/>
          </w:rPr>
          <w:t>of</w:t>
        </w:r>
        <w:proofErr w:type="spellEnd"/>
        <w:r w:rsidR="00137567" w:rsidRPr="00137567">
          <w:rPr>
            <w:rFonts w:eastAsiaTheme="minorHAnsi"/>
            <w:color w:val="000000" w:themeColor="text1"/>
            <w:spacing w:val="-4"/>
            <w:sz w:val="26"/>
            <w:szCs w:val="26"/>
            <w:lang w:val="uk-UA" w:eastAsia="en-US"/>
          </w:rPr>
          <w:t xml:space="preserve"> the Treasury</w:t>
        </w:r>
      </w:hyperlink>
    </w:p>
    <w:p w:rsidR="00137567" w:rsidRPr="00137567" w:rsidRDefault="00137567" w:rsidP="001375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</w:p>
    <w:p w:rsidR="008C70AD" w:rsidRPr="00137567" w:rsidRDefault="00112E75" w:rsidP="00142A2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proofErr w:type="spellStart"/>
      <w:r w:rsidRPr="00BD5E56">
        <w:rPr>
          <w:color w:val="000000" w:themeColor="text1"/>
          <w:sz w:val="26"/>
          <w:szCs w:val="26"/>
          <w:lang w:val="uk-UA"/>
        </w:rPr>
        <w:t>ІнфоДжерело</w:t>
      </w:r>
      <w:proofErr w:type="spellEnd"/>
      <w:r w:rsidRPr="00BD5E56">
        <w:rPr>
          <w:color w:val="000000" w:themeColor="text1"/>
          <w:sz w:val="26"/>
          <w:szCs w:val="26"/>
          <w:lang w:val="uk-UA"/>
        </w:rPr>
        <w:t>:</w:t>
      </w:r>
      <w:r w:rsidR="00142A2B" w:rsidRPr="00142A2B">
        <w:rPr>
          <w:color w:val="000000" w:themeColor="text1"/>
          <w:sz w:val="26"/>
          <w:szCs w:val="26"/>
        </w:rPr>
        <w:t xml:space="preserve"> </w:t>
      </w:r>
      <w:r w:rsidR="00934EFA" w:rsidRPr="00934EFA">
        <w:rPr>
          <w:rStyle w:val="a3"/>
          <w:sz w:val="26"/>
          <w:szCs w:val="26"/>
          <w:lang w:val="uk-UA"/>
        </w:rPr>
        <w:t>https://business.diia.gov.ua/cases/granti</w:t>
      </w:r>
      <w:bookmarkStart w:id="0" w:name="_GoBack"/>
      <w:bookmarkEnd w:id="0"/>
      <w:r w:rsidR="00934EFA">
        <w:rPr>
          <w:color w:val="000000" w:themeColor="text1"/>
          <w:sz w:val="26"/>
          <w:szCs w:val="26"/>
          <w:lang w:val="uk-UA"/>
        </w:rPr>
        <w:t xml:space="preserve">, </w:t>
      </w:r>
      <w:hyperlink r:id="rId11" w:history="1">
        <w:r w:rsidR="00137567" w:rsidRPr="00451BFC">
          <w:rPr>
            <w:rStyle w:val="a3"/>
            <w:sz w:val="26"/>
            <w:szCs w:val="26"/>
          </w:rPr>
          <w:t>https://www.facebook.com/ebrdbasukraine</w:t>
        </w:r>
      </w:hyperlink>
      <w:r w:rsidR="00137567">
        <w:rPr>
          <w:color w:val="000000" w:themeColor="text1"/>
          <w:sz w:val="26"/>
          <w:szCs w:val="26"/>
          <w:lang w:val="uk-UA"/>
        </w:rPr>
        <w:t xml:space="preserve"> або </w:t>
      </w:r>
      <w:hyperlink r:id="rId12" w:history="1">
        <w:r w:rsidR="00F76CEB" w:rsidRPr="00451BFC">
          <w:rPr>
            <w:rStyle w:val="a3"/>
            <w:sz w:val="26"/>
            <w:szCs w:val="26"/>
            <w:lang w:val="uk-UA"/>
          </w:rPr>
          <w:t>https://www.facebook.com/SwissEmbassyKyiv</w:t>
        </w:r>
      </w:hyperlink>
      <w:r w:rsidR="006F7F87">
        <w:rPr>
          <w:rStyle w:val="a3"/>
          <w:sz w:val="26"/>
          <w:szCs w:val="26"/>
          <w:lang w:val="uk-UA"/>
        </w:rPr>
        <w:t xml:space="preserve">, </w:t>
      </w:r>
      <w:r w:rsidR="006F7F87" w:rsidRPr="006F7F87">
        <w:rPr>
          <w:rStyle w:val="a3"/>
          <w:sz w:val="26"/>
          <w:szCs w:val="26"/>
          <w:lang w:val="uk-UA"/>
        </w:rPr>
        <w:t>https:</w:t>
      </w:r>
      <w:r w:rsidR="006F7F87">
        <w:rPr>
          <w:rStyle w:val="a3"/>
          <w:sz w:val="26"/>
          <w:szCs w:val="26"/>
          <w:lang w:val="uk-UA"/>
        </w:rPr>
        <w:t>//gurt.org.ua/news/grants/83344</w:t>
      </w:r>
      <w:r w:rsidR="00F76CEB">
        <w:rPr>
          <w:color w:val="000000" w:themeColor="text1"/>
          <w:sz w:val="26"/>
          <w:szCs w:val="26"/>
          <w:lang w:val="uk-UA"/>
        </w:rPr>
        <w:t xml:space="preserve"> </w:t>
      </w:r>
    </w:p>
    <w:sectPr w:rsidR="008C70AD" w:rsidRPr="00137567" w:rsidSect="003A511A">
      <w:headerReference w:type="default" r:id="rId13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67" w:rsidRDefault="00137567" w:rsidP="008C70AD">
      <w:pPr>
        <w:spacing w:after="0" w:line="240" w:lineRule="auto"/>
      </w:pPr>
      <w:r>
        <w:separator/>
      </w:r>
    </w:p>
  </w:endnote>
  <w:endnote w:type="continuationSeparator" w:id="0">
    <w:p w:rsidR="00137567" w:rsidRDefault="00137567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67" w:rsidRDefault="00137567" w:rsidP="008C70AD">
      <w:pPr>
        <w:spacing w:after="0" w:line="240" w:lineRule="auto"/>
      </w:pPr>
      <w:r>
        <w:separator/>
      </w:r>
    </w:p>
  </w:footnote>
  <w:footnote w:type="continuationSeparator" w:id="0">
    <w:p w:rsidR="00137567" w:rsidRDefault="00137567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137567" w:rsidRPr="004C21FE" w:rsidRDefault="00137567" w:rsidP="003A511A">
        <w:pPr>
          <w:pStyle w:val="a9"/>
          <w:jc w:val="center"/>
          <w:rPr>
            <w:rFonts w:ascii="Times New Roman" w:hAnsi="Times New Roman" w:cs="Times New Roman"/>
            <w:lang w:val="uk-UA"/>
          </w:rPr>
        </w:pPr>
        <w:r w:rsidRPr="004C21FE">
          <w:rPr>
            <w:rFonts w:ascii="Times New Roman" w:hAnsi="Times New Roman" w:cs="Times New Roman"/>
          </w:rPr>
          <w:fldChar w:fldCharType="begin"/>
        </w:r>
        <w:r w:rsidRPr="004C21FE">
          <w:rPr>
            <w:rFonts w:ascii="Times New Roman" w:hAnsi="Times New Roman" w:cs="Times New Roman"/>
          </w:rPr>
          <w:instrText>PAGE   \* MERGEFORMAT</w:instrText>
        </w:r>
        <w:r w:rsidRPr="004C21F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4C21FE">
          <w:rPr>
            <w:rFonts w:ascii="Times New Roman" w:hAnsi="Times New Roman" w:cs="Times New Roman"/>
          </w:rPr>
          <w:fldChar w:fldCharType="end"/>
        </w:r>
      </w:p>
      <w:p w:rsidR="00137567" w:rsidRPr="003A511A" w:rsidRDefault="00934EFA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0405B"/>
    <w:multiLevelType w:val="multilevel"/>
    <w:tmpl w:val="1C7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1E98"/>
    <w:multiLevelType w:val="multilevel"/>
    <w:tmpl w:val="DF9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8363C"/>
    <w:multiLevelType w:val="multilevel"/>
    <w:tmpl w:val="9B1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74B5D"/>
    <w:multiLevelType w:val="multilevel"/>
    <w:tmpl w:val="E6B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F43687"/>
    <w:multiLevelType w:val="multilevel"/>
    <w:tmpl w:val="2D1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5E0CC8"/>
    <w:multiLevelType w:val="multilevel"/>
    <w:tmpl w:val="AD9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2A013B"/>
    <w:multiLevelType w:val="multilevel"/>
    <w:tmpl w:val="C70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613129"/>
    <w:multiLevelType w:val="multilevel"/>
    <w:tmpl w:val="4EDE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DF127F"/>
    <w:multiLevelType w:val="multilevel"/>
    <w:tmpl w:val="E33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2E7537"/>
    <w:multiLevelType w:val="multilevel"/>
    <w:tmpl w:val="FF0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21"/>
  </w:num>
  <w:num w:numId="5">
    <w:abstractNumId w:val="18"/>
  </w:num>
  <w:num w:numId="6">
    <w:abstractNumId w:val="23"/>
  </w:num>
  <w:num w:numId="7">
    <w:abstractNumId w:val="8"/>
  </w:num>
  <w:num w:numId="8">
    <w:abstractNumId w:val="6"/>
  </w:num>
  <w:num w:numId="9">
    <w:abstractNumId w:val="3"/>
  </w:num>
  <w:num w:numId="10">
    <w:abstractNumId w:val="19"/>
  </w:num>
  <w:num w:numId="11">
    <w:abstractNumId w:val="10"/>
  </w:num>
  <w:num w:numId="12">
    <w:abstractNumId w:val="0"/>
  </w:num>
  <w:num w:numId="13">
    <w:abstractNumId w:val="24"/>
  </w:num>
  <w:num w:numId="14">
    <w:abstractNumId w:val="16"/>
  </w:num>
  <w:num w:numId="15">
    <w:abstractNumId w:val="20"/>
  </w:num>
  <w:num w:numId="16">
    <w:abstractNumId w:val="11"/>
  </w:num>
  <w:num w:numId="17">
    <w:abstractNumId w:val="7"/>
  </w:num>
  <w:num w:numId="18">
    <w:abstractNumId w:val="4"/>
  </w:num>
  <w:num w:numId="19">
    <w:abstractNumId w:val="5"/>
  </w:num>
  <w:num w:numId="20">
    <w:abstractNumId w:val="12"/>
  </w:num>
  <w:num w:numId="21">
    <w:abstractNumId w:val="9"/>
  </w:num>
  <w:num w:numId="22">
    <w:abstractNumId w:val="22"/>
  </w:num>
  <w:num w:numId="23">
    <w:abstractNumId w:val="17"/>
  </w:num>
  <w:num w:numId="24">
    <w:abstractNumId w:val="13"/>
  </w:num>
  <w:num w:numId="25">
    <w:abstractNumId w:val="25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40B97"/>
    <w:rsid w:val="00076521"/>
    <w:rsid w:val="000E51A2"/>
    <w:rsid w:val="000F6F83"/>
    <w:rsid w:val="00112E75"/>
    <w:rsid w:val="00135323"/>
    <w:rsid w:val="00137567"/>
    <w:rsid w:val="001426C1"/>
    <w:rsid w:val="00142A2B"/>
    <w:rsid w:val="00160718"/>
    <w:rsid w:val="001D1488"/>
    <w:rsid w:val="00203C25"/>
    <w:rsid w:val="00227841"/>
    <w:rsid w:val="0028354D"/>
    <w:rsid w:val="002A4548"/>
    <w:rsid w:val="002D7B8F"/>
    <w:rsid w:val="002F332D"/>
    <w:rsid w:val="00321D11"/>
    <w:rsid w:val="0036363A"/>
    <w:rsid w:val="003648AC"/>
    <w:rsid w:val="00373CDA"/>
    <w:rsid w:val="003A511A"/>
    <w:rsid w:val="003B303B"/>
    <w:rsid w:val="003C2788"/>
    <w:rsid w:val="003D3993"/>
    <w:rsid w:val="00446B8A"/>
    <w:rsid w:val="00465BDF"/>
    <w:rsid w:val="004801CA"/>
    <w:rsid w:val="004B7E73"/>
    <w:rsid w:val="004C21FE"/>
    <w:rsid w:val="00534F87"/>
    <w:rsid w:val="00535FDC"/>
    <w:rsid w:val="005A4400"/>
    <w:rsid w:val="005F5A77"/>
    <w:rsid w:val="00624AD1"/>
    <w:rsid w:val="00653024"/>
    <w:rsid w:val="00696221"/>
    <w:rsid w:val="006E59FC"/>
    <w:rsid w:val="006F3D72"/>
    <w:rsid w:val="006F7F87"/>
    <w:rsid w:val="00703FDD"/>
    <w:rsid w:val="00737523"/>
    <w:rsid w:val="007902EC"/>
    <w:rsid w:val="007C5D99"/>
    <w:rsid w:val="007D14D9"/>
    <w:rsid w:val="007E709C"/>
    <w:rsid w:val="007F1DDF"/>
    <w:rsid w:val="00820674"/>
    <w:rsid w:val="00823530"/>
    <w:rsid w:val="008452D5"/>
    <w:rsid w:val="008C25DF"/>
    <w:rsid w:val="008C70AD"/>
    <w:rsid w:val="008D7094"/>
    <w:rsid w:val="008E5C5A"/>
    <w:rsid w:val="00934EFA"/>
    <w:rsid w:val="009917DF"/>
    <w:rsid w:val="009F41C4"/>
    <w:rsid w:val="00A12AB6"/>
    <w:rsid w:val="00A335C3"/>
    <w:rsid w:val="00AA7416"/>
    <w:rsid w:val="00AB2563"/>
    <w:rsid w:val="00AE7369"/>
    <w:rsid w:val="00B04FBC"/>
    <w:rsid w:val="00B17D3F"/>
    <w:rsid w:val="00B305CF"/>
    <w:rsid w:val="00B50BD5"/>
    <w:rsid w:val="00B85536"/>
    <w:rsid w:val="00BD5E56"/>
    <w:rsid w:val="00BF00B8"/>
    <w:rsid w:val="00C570BC"/>
    <w:rsid w:val="00CC0EF2"/>
    <w:rsid w:val="00CC29A1"/>
    <w:rsid w:val="00D02C09"/>
    <w:rsid w:val="00D62FD4"/>
    <w:rsid w:val="00DA4E88"/>
    <w:rsid w:val="00DB11DF"/>
    <w:rsid w:val="00DB79F4"/>
    <w:rsid w:val="00DB7D3A"/>
    <w:rsid w:val="00DC7905"/>
    <w:rsid w:val="00E27083"/>
    <w:rsid w:val="00E4485A"/>
    <w:rsid w:val="00E72CA0"/>
    <w:rsid w:val="00EB3402"/>
    <w:rsid w:val="00EC6C04"/>
    <w:rsid w:val="00F119D3"/>
    <w:rsid w:val="00F569D5"/>
    <w:rsid w:val="00F57894"/>
    <w:rsid w:val="00F66BAB"/>
    <w:rsid w:val="00F712C2"/>
    <w:rsid w:val="00F76CEB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A12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137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A12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13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6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0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wissEmbassyKy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ebrdbasukrain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USTreasuryDept?__cft__%5b0%5d=AZU5p1LkGiy_jjX94PRc6TASdVvjwEG1DfbzPx7fU6Blcj-StFQDbNtPSYyR5XkwPC4wIyotrx8iWnK-1oDQ8zEvCLUPBYqIKMGQWSGoYmePlwxUD5uJwpEGF4ot4FDkBgWN55mLznRnS-XJfAnIJzjQnZxWOuCDvPOtfobfJgVEwbZtzVYlgyYGlcaO-pBSYWs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.jotform.com/2233425451150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6067-2C64-4763-B93D-E2CF8D4A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58</cp:revision>
  <dcterms:created xsi:type="dcterms:W3CDTF">2022-10-24T08:06:00Z</dcterms:created>
  <dcterms:modified xsi:type="dcterms:W3CDTF">2023-01-05T09:06:00Z</dcterms:modified>
</cp:coreProperties>
</file>